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C" w:rsidRPr="00B8625B" w:rsidRDefault="003D369C" w:rsidP="003D369C">
      <w:pPr>
        <w:ind w:firstLine="567"/>
        <w:jc w:val="both"/>
      </w:pPr>
      <w:r w:rsidRPr="007461D8">
        <w:t>Зачет</w:t>
      </w:r>
      <w:r w:rsidRPr="007461D8">
        <w:rPr>
          <w:i/>
        </w:rPr>
        <w:t xml:space="preserve"> </w:t>
      </w:r>
      <w:r w:rsidRPr="007461D8">
        <w:t xml:space="preserve">по дисциплине «Гигиена» </w:t>
      </w:r>
      <w:r w:rsidRPr="00B8625B">
        <w:t xml:space="preserve">проводится после </w:t>
      </w:r>
      <w:r>
        <w:t>3</w:t>
      </w:r>
      <w:r w:rsidRPr="00B8625B">
        <w:t xml:space="preserve"> семестра</w:t>
      </w:r>
      <w:r>
        <w:t xml:space="preserve"> (очное обучение); после 2 семестра (заочное обучение)</w:t>
      </w:r>
      <w:r w:rsidRPr="00B8625B">
        <w:t>.</w:t>
      </w:r>
    </w:p>
    <w:p w:rsidR="003D369C" w:rsidRPr="00B8625B" w:rsidRDefault="003D369C" w:rsidP="003D369C">
      <w:pPr>
        <w:ind w:firstLine="567"/>
        <w:jc w:val="both"/>
        <w:rPr>
          <w:b/>
        </w:rPr>
      </w:pPr>
      <w:r w:rsidRPr="00B8625B">
        <w:rPr>
          <w:b/>
        </w:rPr>
        <w:t xml:space="preserve">Этапы проведения </w:t>
      </w:r>
      <w:r>
        <w:rPr>
          <w:b/>
        </w:rPr>
        <w:t>зачета</w:t>
      </w:r>
      <w:r w:rsidRPr="00B8625B">
        <w:rPr>
          <w:b/>
        </w:rPr>
        <w:t>:</w:t>
      </w:r>
    </w:p>
    <w:p w:rsidR="003D369C" w:rsidRPr="00B8625B" w:rsidRDefault="003D369C" w:rsidP="003D369C">
      <w:pPr>
        <w:jc w:val="both"/>
      </w:pPr>
      <w:r w:rsidRPr="00B8625B">
        <w:t xml:space="preserve">        1. этап – устный ответ на вопросы согласно билетам.</w:t>
      </w:r>
    </w:p>
    <w:p w:rsidR="003D369C" w:rsidRPr="00A0396B" w:rsidRDefault="003D369C" w:rsidP="003D369C"/>
    <w:p w:rsidR="003D369C" w:rsidRPr="003D369C" w:rsidRDefault="003D369C" w:rsidP="003D369C">
      <w:pPr>
        <w:jc w:val="center"/>
        <w:rPr>
          <w:b/>
        </w:rPr>
      </w:pPr>
      <w:r w:rsidRPr="003D369C">
        <w:rPr>
          <w:b/>
        </w:rPr>
        <w:t>Примерные вопросы к зачету</w:t>
      </w:r>
    </w:p>
    <w:p w:rsidR="003D369C" w:rsidRPr="009955F4" w:rsidRDefault="003D369C" w:rsidP="003D369C">
      <w:pPr>
        <w:jc w:val="center"/>
      </w:pP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Предмет и методы гигиены. Взаимосвязь наук гигиены и экологии.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Структура ФС «</w:t>
      </w:r>
      <w:proofErr w:type="spellStart"/>
      <w:r w:rsidRPr="00D1102F">
        <w:t>Роспотребнадзор</w:t>
      </w:r>
      <w:proofErr w:type="spellEnd"/>
      <w:r w:rsidRPr="00D1102F">
        <w:t>». Основные направления работы ФС. Санитарное законодательство.</w:t>
      </w:r>
    </w:p>
    <w:p w:rsidR="003D369C" w:rsidRPr="00D1102F" w:rsidRDefault="003D369C" w:rsidP="003D369C">
      <w:pPr>
        <w:pStyle w:val="a3"/>
        <w:numPr>
          <w:ilvl w:val="0"/>
          <w:numId w:val="1"/>
        </w:numPr>
        <w:spacing w:after="0"/>
        <w:ind w:left="0" w:firstLine="731"/>
        <w:jc w:val="both"/>
      </w:pPr>
      <w:r w:rsidRPr="00D1102F">
        <w:t>Санитарно-эпидемиологические ситуации. Характеристика санитарно – эпидемиологической  ситуации  в России.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Природоохранный комплекс мероприятий. Государственный надзор за его выполнением.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Основы стандартизации, сертификации, экспертизы. Технологическое нормирование.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Испытательные лабораторные центры. Основы аккредитации.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Основы экологического нормирования. Санитарно-гигиенические нормативы качества окружающей природной среды.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Понятие адаптации и акклиматизации.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Климатические условия проживания в районе высоких широт. Защита населения.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 Метеотропные реакции, профилактические мероприятия.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Гигиеническая характеристика </w:t>
      </w:r>
      <w:proofErr w:type="gramStart"/>
      <w:r w:rsidRPr="00D1102F">
        <w:t>микроклиматический</w:t>
      </w:r>
      <w:proofErr w:type="gramEnd"/>
      <w:r w:rsidRPr="00D1102F">
        <w:t xml:space="preserve"> условий в помещениях. Основные и допустимые микроклиматические условия.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Закаливание организма. Специфическая и неспецифическая роль закаливания. Принципы закаливания, методы.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Гигиеническая характеристика спектров солнечного излучения.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Гигиеническая характеристика естественного и искусственного освещения помещений.  Понятие о системах искусственного освещения, светильниках.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Профилактика УФ недостаточности, профилактика побочных реакций воздействия УФ излучения.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Гигиеническая характеристика видов труда. Понятие о периодах работоспособности.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Режим дня. Формирование динамического стереотипа.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Характеристика процессов утомления и переутомления. Теории возникновения процесса утомления. Диагностика наступающего процесса утомления.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 Мероприятия, направленные на увеличение продолжительности процесса стабильной работоспособности, предупреждение развития процесса переутомления.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Гигиеническое значение воды. Гигиенические требования, предъявляемые к качеству питьевой воды.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Гигиеническая характеристика </w:t>
      </w:r>
      <w:proofErr w:type="spellStart"/>
      <w:r w:rsidRPr="00D1102F">
        <w:t>водоисточников</w:t>
      </w:r>
      <w:proofErr w:type="spellEnd"/>
      <w:r w:rsidRPr="00D1102F">
        <w:t xml:space="preserve">. Показатели органического загрязнения воды </w:t>
      </w:r>
      <w:proofErr w:type="spellStart"/>
      <w:r w:rsidRPr="00D1102F">
        <w:t>водоисточников</w:t>
      </w:r>
      <w:proofErr w:type="spellEnd"/>
      <w:r w:rsidRPr="00D1102F">
        <w:t>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Гигиенические показатели качества питьевой воды (бактериологические, химические, органолептические).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Методы улучшения качества воды (получение воды питьевой централизованного водоснабжения).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Природоохранный комплекс мероприятий, направленный на предотвращение загрязнения </w:t>
      </w:r>
      <w:proofErr w:type="spellStart"/>
      <w:r w:rsidRPr="00D1102F">
        <w:t>водоисточников</w:t>
      </w:r>
      <w:proofErr w:type="spellEnd"/>
      <w:r w:rsidRPr="00D1102F">
        <w:t xml:space="preserve">. Санитарная охрана водоемов.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Химический состав воздуха и его гигиеническое значение.   Природоохранный комплекс мероприятий, направленный на предотвращение загрязнения атмосферного воздуха.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lastRenderedPageBreak/>
        <w:t xml:space="preserve">Санитарно-эпидемиологическое значение почв.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Плодородие почв. Гигиеническая характеристика удобрений.</w:t>
      </w:r>
    </w:p>
    <w:p w:rsidR="003D369C" w:rsidRPr="00D1102F" w:rsidRDefault="003D369C" w:rsidP="003D369C">
      <w:pPr>
        <w:numPr>
          <w:ilvl w:val="0"/>
          <w:numId w:val="1"/>
        </w:numPr>
        <w:autoSpaceDE w:val="0"/>
        <w:autoSpaceDN w:val="0"/>
        <w:adjustRightInd w:val="0"/>
        <w:ind w:left="0" w:firstLine="731"/>
        <w:jc w:val="both"/>
      </w:pPr>
      <w:r w:rsidRPr="00D1102F">
        <w:t xml:space="preserve"> Пестициды, особенности, определяющие их потенциальную  опасность.   Классификации  пестицидов.  Критерии определения класса опасности пестицидов.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Бытовые отходы. Канализационная и </w:t>
      </w:r>
      <w:proofErr w:type="spellStart"/>
      <w:r w:rsidRPr="00D1102F">
        <w:t>неканализационная</w:t>
      </w:r>
      <w:proofErr w:type="spellEnd"/>
      <w:r w:rsidRPr="00D1102F">
        <w:t xml:space="preserve"> система очистки населенных мест.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Профилактика возникновения функциональных нарушений у детей (нарушение осанки, снижение остроты зрения).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Понятие школьная зрелость. Гигиенические требования к организации учебного процесса в школе.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Гигиенические требования к организации питания в школе.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Гигиеническая характеристика источников электромагнитных воздействий на человека. Обеспечение электромагнитной безопасности человека в урбанизированном обществе.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Гигиенические основы безопасности при работе с </w:t>
      </w:r>
      <w:proofErr w:type="spellStart"/>
      <w:r w:rsidRPr="00D1102F">
        <w:t>видеодисплейными</w:t>
      </w:r>
      <w:proofErr w:type="spellEnd"/>
      <w:r w:rsidRPr="00D1102F">
        <w:t xml:space="preserve"> терминалами (компьютерами).</w:t>
      </w:r>
    </w:p>
    <w:p w:rsidR="003D369C" w:rsidRPr="00D1102F" w:rsidRDefault="003D369C" w:rsidP="003D369C">
      <w:pPr>
        <w:pStyle w:val="a3"/>
        <w:numPr>
          <w:ilvl w:val="0"/>
          <w:numId w:val="1"/>
        </w:numPr>
        <w:spacing w:after="0"/>
        <w:ind w:left="0" w:firstLine="731"/>
        <w:jc w:val="both"/>
      </w:pPr>
      <w:r w:rsidRPr="00D1102F">
        <w:t xml:space="preserve"> Гигиеническая характеристика физических воздействий на человека в условиях производства.  (Шум, пыль, вибрация).</w:t>
      </w:r>
    </w:p>
    <w:p w:rsidR="003D369C" w:rsidRPr="00D1102F" w:rsidRDefault="003D369C" w:rsidP="003D369C">
      <w:pPr>
        <w:pStyle w:val="a3"/>
        <w:numPr>
          <w:ilvl w:val="0"/>
          <w:numId w:val="1"/>
        </w:numPr>
        <w:spacing w:after="0"/>
        <w:ind w:left="0" w:firstLine="731"/>
        <w:jc w:val="both"/>
      </w:pPr>
      <w:r w:rsidRPr="00D1102F">
        <w:t xml:space="preserve">Безопасность человека при работе во вредных условиях производства. Профилактика профессиональных заболеваний.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Государственная политика в области питания. Новые виды продуктов питания.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Классификация заболеваний,  связанных с питанием (Б.Л. Смолянский).  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Научно обоснованные теории и виды питания.  Рациональное питание, принципы рационального питания.  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407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9"/>
        </w:rPr>
      </w:pPr>
      <w:r w:rsidRPr="00D1102F">
        <w:rPr>
          <w:color w:val="000000"/>
          <w:spacing w:val="-4"/>
        </w:rPr>
        <w:t xml:space="preserve">Энергетическая    полноценность    питания.    Методы   измерения   расхода    энергии. </w:t>
      </w:r>
      <w:r w:rsidRPr="00D1102F">
        <w:rPr>
          <w:color w:val="000000"/>
          <w:spacing w:val="-5"/>
        </w:rPr>
        <w:t>Энергетическая потребность и факторы, влияющие на нее.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407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0"/>
        </w:rPr>
      </w:pPr>
      <w:r w:rsidRPr="00D1102F">
        <w:rPr>
          <w:color w:val="000000"/>
          <w:spacing w:val="-5"/>
        </w:rPr>
        <w:t>Значение белка в питании. Основные функции, суточная потребность. Белковая недостаточность.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414"/>
        </w:tabs>
        <w:autoSpaceDE w:val="0"/>
        <w:autoSpaceDN w:val="0"/>
        <w:adjustRightInd w:val="0"/>
        <w:ind w:left="0" w:firstLine="731"/>
        <w:jc w:val="both"/>
        <w:rPr>
          <w:color w:val="000000"/>
        </w:rPr>
      </w:pPr>
      <w:r w:rsidRPr="00D1102F">
        <w:rPr>
          <w:color w:val="000000"/>
          <w:spacing w:val="-5"/>
        </w:rPr>
        <w:t xml:space="preserve">Значение жира в питании. Основные функции, суточная потребность. Биологическая роль. 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8"/>
        </w:rPr>
      </w:pPr>
      <w:r w:rsidRPr="00D1102F">
        <w:rPr>
          <w:color w:val="000000"/>
          <w:spacing w:val="-4"/>
        </w:rPr>
        <w:t xml:space="preserve">Значение углеводов. Основные функции, суточная потребность.  Биологическая роль и важнейшие источники моносахаридов (глюкоза, фруктоза), </w:t>
      </w:r>
      <w:r w:rsidRPr="00D1102F">
        <w:rPr>
          <w:color w:val="000000"/>
          <w:spacing w:val="-5"/>
        </w:rPr>
        <w:t>дисахаридов (сахароза, лактоза).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1"/>
        </w:rPr>
      </w:pPr>
      <w:r w:rsidRPr="00D1102F">
        <w:rPr>
          <w:color w:val="000000"/>
          <w:spacing w:val="3"/>
        </w:rPr>
        <w:t xml:space="preserve">Биологическая роль и важнейшие пищевые источники  </w:t>
      </w:r>
      <w:r w:rsidRPr="00D1102F">
        <w:rPr>
          <w:color w:val="000000"/>
          <w:spacing w:val="-6"/>
        </w:rPr>
        <w:t xml:space="preserve">полисахаридов </w:t>
      </w:r>
      <w:r w:rsidRPr="00D1102F">
        <w:rPr>
          <w:color w:val="000000"/>
          <w:spacing w:val="3"/>
        </w:rPr>
        <w:t xml:space="preserve">(крахмал, </w:t>
      </w:r>
      <w:r w:rsidRPr="00D1102F">
        <w:rPr>
          <w:color w:val="000000"/>
          <w:spacing w:val="-6"/>
        </w:rPr>
        <w:t>гликоген, пищевые волокна).</w:t>
      </w:r>
    </w:p>
    <w:p w:rsidR="003D369C" w:rsidRPr="00D1102F" w:rsidRDefault="003D369C" w:rsidP="003D369C">
      <w:pPr>
        <w:numPr>
          <w:ilvl w:val="0"/>
          <w:numId w:val="1"/>
        </w:numPr>
        <w:shd w:val="clear" w:color="auto" w:fill="FFFFFF"/>
        <w:tabs>
          <w:tab w:val="left" w:pos="544"/>
        </w:tabs>
        <w:ind w:left="0" w:firstLine="731"/>
        <w:jc w:val="both"/>
      </w:pPr>
      <w:r w:rsidRPr="00D1102F">
        <w:rPr>
          <w:color w:val="000000"/>
          <w:spacing w:val="-1"/>
        </w:rPr>
        <w:t xml:space="preserve">Витамины.  Определение, потребности, классификации.  </w:t>
      </w:r>
      <w:r w:rsidRPr="00D1102F">
        <w:rPr>
          <w:color w:val="000000"/>
          <w:spacing w:val="-5"/>
        </w:rPr>
        <w:t xml:space="preserve">Классификация   причин   витаминной   недостаточности.   Профилактика   витаминной </w:t>
      </w:r>
      <w:r w:rsidRPr="00D1102F">
        <w:rPr>
          <w:color w:val="000000"/>
          <w:spacing w:val="-6"/>
        </w:rPr>
        <w:t xml:space="preserve">недостаточности. 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0"/>
        </w:rPr>
      </w:pPr>
      <w:r w:rsidRPr="00D1102F">
        <w:rPr>
          <w:color w:val="000000"/>
          <w:spacing w:val="-4"/>
        </w:rPr>
        <w:t xml:space="preserve">Механизмы действия, потребность и источники поступления жирорастворимых витаминов. Клинические проявления  </w:t>
      </w:r>
      <w:r w:rsidRPr="00D1102F">
        <w:rPr>
          <w:color w:val="000000"/>
          <w:spacing w:val="-6"/>
        </w:rPr>
        <w:t>гиповитаминоза и гипервитаминоза.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0"/>
        </w:rPr>
      </w:pPr>
      <w:r w:rsidRPr="00D1102F">
        <w:rPr>
          <w:color w:val="000000"/>
          <w:spacing w:val="-3"/>
        </w:rPr>
        <w:t>Витамин  В</w:t>
      </w:r>
      <w:proofErr w:type="gramStart"/>
      <w:r w:rsidRPr="00D1102F">
        <w:rPr>
          <w:color w:val="000000"/>
          <w:spacing w:val="-3"/>
          <w:vertAlign w:val="subscript"/>
        </w:rPr>
        <w:t>1</w:t>
      </w:r>
      <w:proofErr w:type="gramEnd"/>
      <w:r w:rsidRPr="00D1102F">
        <w:rPr>
          <w:color w:val="000000"/>
          <w:spacing w:val="-3"/>
        </w:rPr>
        <w:t xml:space="preserve">,   Механизмы   действия,   потребность    источники.   Клинические </w:t>
      </w:r>
      <w:r w:rsidRPr="00D1102F">
        <w:rPr>
          <w:color w:val="000000"/>
          <w:spacing w:val="13"/>
        </w:rPr>
        <w:t xml:space="preserve">проявления недостаточности,     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0"/>
        </w:rPr>
      </w:pPr>
      <w:r w:rsidRPr="00D1102F">
        <w:rPr>
          <w:color w:val="000000"/>
          <w:spacing w:val="-3"/>
        </w:rPr>
        <w:t>Витамин  В</w:t>
      </w:r>
      <w:proofErr w:type="gramStart"/>
      <w:r w:rsidRPr="00D1102F">
        <w:rPr>
          <w:color w:val="000000"/>
          <w:spacing w:val="-3"/>
          <w:vertAlign w:val="subscript"/>
        </w:rPr>
        <w:t>2</w:t>
      </w:r>
      <w:proofErr w:type="gramEnd"/>
      <w:r w:rsidRPr="00D1102F">
        <w:rPr>
          <w:color w:val="000000"/>
          <w:spacing w:val="-3"/>
        </w:rPr>
        <w:t xml:space="preserve">.   Механизмы   действия,   потребность    источники.   Клинические </w:t>
      </w:r>
      <w:r w:rsidRPr="00D1102F">
        <w:rPr>
          <w:color w:val="000000"/>
          <w:spacing w:val="13"/>
        </w:rPr>
        <w:t xml:space="preserve">проявления недостаточности,     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21"/>
        </w:rPr>
      </w:pPr>
      <w:r w:rsidRPr="00D1102F">
        <w:rPr>
          <w:color w:val="000000"/>
          <w:spacing w:val="-5"/>
        </w:rPr>
        <w:t>Витамины  В</w:t>
      </w:r>
      <w:proofErr w:type="gramStart"/>
      <w:r w:rsidRPr="00D1102F">
        <w:rPr>
          <w:color w:val="000000"/>
          <w:spacing w:val="-5"/>
          <w:vertAlign w:val="subscript"/>
        </w:rPr>
        <w:t>6</w:t>
      </w:r>
      <w:proofErr w:type="gramEnd"/>
      <w:r w:rsidRPr="00D1102F">
        <w:rPr>
          <w:color w:val="000000"/>
          <w:spacing w:val="-5"/>
        </w:rPr>
        <w:t>, В</w:t>
      </w:r>
      <w:r w:rsidRPr="00D1102F">
        <w:rPr>
          <w:color w:val="000000"/>
          <w:spacing w:val="-5"/>
          <w:vertAlign w:val="subscript"/>
        </w:rPr>
        <w:t>12</w:t>
      </w:r>
      <w:r w:rsidRPr="00D1102F">
        <w:rPr>
          <w:color w:val="000000"/>
          <w:spacing w:val="-5"/>
        </w:rPr>
        <w:t xml:space="preserve">.   Механизмы   действия,   потребность,   источники.   Клинические </w:t>
      </w:r>
      <w:r w:rsidRPr="00D1102F">
        <w:rPr>
          <w:color w:val="000000"/>
          <w:spacing w:val="-6"/>
        </w:rPr>
        <w:t>проявления недостаточности.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5"/>
        </w:rPr>
      </w:pPr>
      <w:r w:rsidRPr="00D1102F">
        <w:rPr>
          <w:color w:val="000000"/>
          <w:spacing w:val="-2"/>
        </w:rPr>
        <w:t xml:space="preserve">Витамин С. Механизмы действия, потребность, источники. Клинические проявления </w:t>
      </w:r>
      <w:r w:rsidRPr="00D1102F">
        <w:rPr>
          <w:color w:val="000000"/>
          <w:spacing w:val="-5"/>
        </w:rPr>
        <w:t>недостаточности. Методы сохранения витамина</w:t>
      </w:r>
      <w:proofErr w:type="gramStart"/>
      <w:r w:rsidRPr="00D1102F">
        <w:rPr>
          <w:color w:val="000000"/>
          <w:spacing w:val="-5"/>
        </w:rPr>
        <w:t xml:space="preserve"> С</w:t>
      </w:r>
      <w:proofErr w:type="gramEnd"/>
      <w:r w:rsidRPr="00D1102F">
        <w:rPr>
          <w:color w:val="000000"/>
          <w:spacing w:val="-5"/>
        </w:rPr>
        <w:t xml:space="preserve"> в продуктах питания.</w:t>
      </w:r>
    </w:p>
    <w:p w:rsidR="003D369C" w:rsidRPr="00D1102F" w:rsidRDefault="003D369C" w:rsidP="003D369C">
      <w:pPr>
        <w:numPr>
          <w:ilvl w:val="0"/>
          <w:numId w:val="1"/>
        </w:numPr>
        <w:shd w:val="clear" w:color="auto" w:fill="FFFFFF"/>
        <w:ind w:left="0" w:firstLine="731"/>
        <w:jc w:val="both"/>
      </w:pPr>
      <w:r w:rsidRPr="00D1102F">
        <w:rPr>
          <w:color w:val="000000"/>
          <w:spacing w:val="-4"/>
        </w:rPr>
        <w:t xml:space="preserve">Роль кальция в жизнедеятельности человека. Основные продукты-источники. Пищевые </w:t>
      </w:r>
      <w:r w:rsidRPr="00D1102F">
        <w:rPr>
          <w:color w:val="000000"/>
          <w:spacing w:val="-5"/>
        </w:rPr>
        <w:t xml:space="preserve">вещества и </w:t>
      </w:r>
      <w:proofErr w:type="spellStart"/>
      <w:r w:rsidRPr="00D1102F">
        <w:rPr>
          <w:color w:val="000000"/>
          <w:spacing w:val="-5"/>
        </w:rPr>
        <w:t>антипитательные</w:t>
      </w:r>
      <w:proofErr w:type="spellEnd"/>
      <w:r w:rsidRPr="00D1102F">
        <w:rPr>
          <w:color w:val="000000"/>
          <w:spacing w:val="-5"/>
        </w:rPr>
        <w:t xml:space="preserve"> вещества, влияющие на усвояемость кальция.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3"/>
        </w:rPr>
      </w:pPr>
      <w:r w:rsidRPr="00D1102F">
        <w:rPr>
          <w:color w:val="000000"/>
          <w:spacing w:val="-5"/>
        </w:rPr>
        <w:t xml:space="preserve">Роль </w:t>
      </w:r>
      <w:proofErr w:type="spellStart"/>
      <w:r w:rsidRPr="00D1102F">
        <w:rPr>
          <w:color w:val="000000"/>
          <w:spacing w:val="-5"/>
        </w:rPr>
        <w:t>М</w:t>
      </w:r>
      <w:proofErr w:type="gramStart"/>
      <w:r w:rsidRPr="00D1102F">
        <w:rPr>
          <w:color w:val="000000"/>
          <w:spacing w:val="-5"/>
        </w:rPr>
        <w:t>g</w:t>
      </w:r>
      <w:proofErr w:type="spellEnd"/>
      <w:proofErr w:type="gramEnd"/>
      <w:r w:rsidRPr="00D1102F">
        <w:rPr>
          <w:color w:val="000000"/>
          <w:spacing w:val="-5"/>
        </w:rPr>
        <w:t xml:space="preserve"> в жизнедеятельности человека. Основные продукты-источники.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3"/>
        </w:rPr>
      </w:pPr>
      <w:r w:rsidRPr="00D1102F">
        <w:rPr>
          <w:color w:val="000000"/>
          <w:spacing w:val="-5"/>
        </w:rPr>
        <w:t>Роль фосфора  в жизнедеятельности человека. Основные продукты-источники.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5"/>
        </w:rPr>
      </w:pPr>
      <w:proofErr w:type="spellStart"/>
      <w:r w:rsidRPr="00D1102F">
        <w:rPr>
          <w:color w:val="000000"/>
        </w:rPr>
        <w:lastRenderedPageBreak/>
        <w:t>Биомикроэлементы</w:t>
      </w:r>
      <w:proofErr w:type="spellEnd"/>
      <w:r w:rsidRPr="00D1102F">
        <w:rPr>
          <w:color w:val="000000"/>
        </w:rPr>
        <w:t xml:space="preserve">, участвующие в кроветворении    (железо, медь, кобальт, цинк). </w:t>
      </w:r>
      <w:r w:rsidRPr="00D1102F">
        <w:rPr>
          <w:color w:val="000000"/>
          <w:spacing w:val="-6"/>
        </w:rPr>
        <w:t>Продукты-источники.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3"/>
        </w:rPr>
      </w:pPr>
      <w:r w:rsidRPr="00D1102F">
        <w:rPr>
          <w:color w:val="000000"/>
          <w:spacing w:val="-5"/>
        </w:rPr>
        <w:t>Роль</w:t>
      </w:r>
      <w:proofErr w:type="gramStart"/>
      <w:r w:rsidRPr="00D1102F">
        <w:rPr>
          <w:color w:val="000000"/>
          <w:spacing w:val="-5"/>
        </w:rPr>
        <w:t xml:space="preserve"> К</w:t>
      </w:r>
      <w:proofErr w:type="gramEnd"/>
      <w:r w:rsidRPr="00D1102F">
        <w:rPr>
          <w:color w:val="000000"/>
          <w:spacing w:val="-5"/>
        </w:rPr>
        <w:t xml:space="preserve">, </w:t>
      </w:r>
      <w:r w:rsidRPr="00D1102F">
        <w:rPr>
          <w:color w:val="000000"/>
          <w:spacing w:val="-5"/>
          <w:lang w:val="en-US"/>
        </w:rPr>
        <w:t>N</w:t>
      </w:r>
      <w:r w:rsidRPr="00D1102F">
        <w:rPr>
          <w:color w:val="000000"/>
          <w:spacing w:val="-5"/>
        </w:rPr>
        <w:t>а в жизнедеятельности человека. Основные продукты-источники.</w:t>
      </w:r>
    </w:p>
    <w:p w:rsidR="003D369C" w:rsidRPr="00D1102F" w:rsidRDefault="003D369C" w:rsidP="003D369C">
      <w:pPr>
        <w:widowControl w:val="0"/>
        <w:numPr>
          <w:ilvl w:val="0"/>
          <w:numId w:val="1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0" w:firstLine="731"/>
        <w:jc w:val="both"/>
        <w:rPr>
          <w:color w:val="000000"/>
          <w:spacing w:val="-14"/>
        </w:rPr>
      </w:pPr>
      <w:r w:rsidRPr="00D1102F">
        <w:rPr>
          <w:color w:val="000000"/>
          <w:spacing w:val="4"/>
        </w:rPr>
        <w:t xml:space="preserve">Роль йода, фтора в жизнедеятельности человека. Эндемические заболевания и их </w:t>
      </w:r>
      <w:r w:rsidRPr="00D1102F">
        <w:rPr>
          <w:color w:val="000000"/>
          <w:spacing w:val="-5"/>
        </w:rPr>
        <w:t>профилактика (эндемический зоб, флюороз, кариес).</w:t>
      </w:r>
    </w:p>
    <w:p w:rsidR="003D369C" w:rsidRPr="00D1102F" w:rsidRDefault="003D369C" w:rsidP="003D369C">
      <w:pPr>
        <w:numPr>
          <w:ilvl w:val="0"/>
          <w:numId w:val="1"/>
        </w:numPr>
        <w:shd w:val="clear" w:color="auto" w:fill="FFFFFF"/>
        <w:tabs>
          <w:tab w:val="left" w:pos="544"/>
        </w:tabs>
        <w:ind w:left="0" w:firstLine="731"/>
        <w:jc w:val="both"/>
      </w:pPr>
      <w:r w:rsidRPr="00D1102F">
        <w:t>Пищевая ценность продуктов животного происхождения.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Пищевая ценность продуктов растительного происхождения.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Санитарно-эпидемиологическое значение продуктов питания.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 xml:space="preserve">Пищевые </w:t>
      </w:r>
      <w:proofErr w:type="spellStart"/>
      <w:r w:rsidRPr="00D1102F">
        <w:t>токсикоинфекции</w:t>
      </w:r>
      <w:proofErr w:type="spellEnd"/>
      <w:r w:rsidRPr="00D1102F">
        <w:t>. Причины возникновения у населения, профилактические мероприятия.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Стафилококковый токсикоз. Причины возникновения у населения, профилактические мероприятия.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Ботулизм. Причины возникновения у населения, профилактические мероприятия.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Пищевые отравления немикробной этиологии.  Профилактические мероприятия.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Государственный  надзор в области обеспечения безопасности пищевых продуктов.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Гигиенические аспекты работы лечебно-профилактических учреждений. Лечебно-охранительный режим.</w:t>
      </w:r>
    </w:p>
    <w:p w:rsidR="003D369C" w:rsidRPr="00D1102F" w:rsidRDefault="003D369C" w:rsidP="003D369C">
      <w:pPr>
        <w:numPr>
          <w:ilvl w:val="0"/>
          <w:numId w:val="1"/>
        </w:numPr>
        <w:ind w:left="0" w:firstLine="731"/>
        <w:jc w:val="both"/>
      </w:pPr>
      <w:r w:rsidRPr="00D1102F">
        <w:t>Внутрибольничная инфекция. Профилактика.</w:t>
      </w:r>
    </w:p>
    <w:p w:rsidR="003D369C" w:rsidRPr="00D1102F" w:rsidRDefault="003D369C" w:rsidP="003D369C">
      <w:pPr>
        <w:pStyle w:val="2"/>
        <w:numPr>
          <w:ilvl w:val="0"/>
          <w:numId w:val="1"/>
        </w:numPr>
        <w:spacing w:after="0" w:line="240" w:lineRule="auto"/>
        <w:ind w:left="0" w:firstLine="731"/>
        <w:jc w:val="both"/>
        <w:rPr>
          <w:sz w:val="24"/>
          <w:szCs w:val="24"/>
        </w:rPr>
      </w:pPr>
      <w:r w:rsidRPr="00D1102F">
        <w:rPr>
          <w:sz w:val="24"/>
          <w:szCs w:val="24"/>
        </w:rPr>
        <w:t>Понятие экономического и административн</w:t>
      </w:r>
      <w:proofErr w:type="gramStart"/>
      <w:r w:rsidRPr="00D1102F">
        <w:rPr>
          <w:sz w:val="24"/>
          <w:szCs w:val="24"/>
        </w:rPr>
        <w:t>о-</w:t>
      </w:r>
      <w:proofErr w:type="gramEnd"/>
      <w:r w:rsidRPr="00D1102F">
        <w:rPr>
          <w:sz w:val="24"/>
          <w:szCs w:val="24"/>
        </w:rPr>
        <w:t xml:space="preserve">-правового механизмов регулирования  в области  обращения образующихся отходов ЛПУ.  </w:t>
      </w:r>
    </w:p>
    <w:p w:rsidR="003D369C" w:rsidRPr="00D1102F" w:rsidRDefault="003D369C" w:rsidP="003D369C">
      <w:pPr>
        <w:pStyle w:val="2"/>
        <w:numPr>
          <w:ilvl w:val="0"/>
          <w:numId w:val="1"/>
        </w:numPr>
        <w:spacing w:after="0" w:line="240" w:lineRule="auto"/>
        <w:ind w:left="0" w:firstLine="731"/>
        <w:jc w:val="both"/>
        <w:rPr>
          <w:sz w:val="24"/>
          <w:szCs w:val="24"/>
        </w:rPr>
      </w:pPr>
      <w:r w:rsidRPr="00D1102F">
        <w:rPr>
          <w:sz w:val="24"/>
          <w:szCs w:val="24"/>
        </w:rPr>
        <w:t xml:space="preserve">Классификация медицинских отходов. </w:t>
      </w:r>
    </w:p>
    <w:p w:rsidR="003D369C" w:rsidRPr="00A0396B" w:rsidRDefault="003D369C" w:rsidP="003D369C"/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1FAB"/>
    <w:multiLevelType w:val="hybridMultilevel"/>
    <w:tmpl w:val="3B5CC5E6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9C"/>
    <w:rsid w:val="003D369C"/>
    <w:rsid w:val="00AA66C3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9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69C"/>
    <w:pPr>
      <w:spacing w:after="120"/>
    </w:pPr>
  </w:style>
  <w:style w:type="character" w:customStyle="1" w:styleId="a4">
    <w:name w:val="Основной текст Знак"/>
    <w:basedOn w:val="a0"/>
    <w:link w:val="a3"/>
    <w:rsid w:val="003D369C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D369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D369C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5723</Characters>
  <Application>Microsoft Office Word</Application>
  <DocSecurity>0</DocSecurity>
  <Lines>47</Lines>
  <Paragraphs>13</Paragraphs>
  <ScaleCrop>false</ScaleCrop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2020-10-07T05:29:00Z</dcterms:created>
  <dcterms:modified xsi:type="dcterms:W3CDTF">2020-10-07T05:29:00Z</dcterms:modified>
</cp:coreProperties>
</file>